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6DA713">
      <w:pPr>
        <w:pStyle w:val="6"/>
        <w:keepNext w:val="0"/>
        <w:keepLines w:val="0"/>
        <w:pageBreakBefore w:val="0"/>
        <w:kinsoku/>
        <w:wordWrap/>
        <w:overflowPunct/>
        <w:topLinePunct w:val="0"/>
        <w:autoSpaceDE/>
        <w:autoSpaceDN/>
        <w:bidi w:val="0"/>
        <w:adjustRightInd/>
        <w:snapToGrid/>
        <w:spacing w:line="620" w:lineRule="exact"/>
        <w:ind w:left="0" w:leftChars="0" w:firstLine="0" w:firstLineChars="0"/>
        <w:jc w:val="center"/>
        <w:textAlignment w:val="auto"/>
        <w:rPr>
          <w:rFonts w:hint="eastAsia" w:ascii="方正小标宋简体" w:hAnsi="方正小标宋简体" w:eastAsia="方正小标宋简体" w:cs="方正小标宋简体"/>
          <w:w w:val="100"/>
          <w:sz w:val="44"/>
          <w:szCs w:val="44"/>
          <w:lang w:val="en-US" w:eastAsia="zh-CN"/>
        </w:rPr>
      </w:pPr>
      <w:r>
        <w:rPr>
          <w:rFonts w:hint="eastAsia" w:ascii="方正小标宋简体" w:hAnsi="方正小标宋简体" w:eastAsia="方正小标宋简体" w:cs="方正小标宋简体"/>
          <w:w w:val="100"/>
          <w:sz w:val="44"/>
          <w:szCs w:val="44"/>
          <w:lang w:val="en-US" w:eastAsia="zh-CN"/>
        </w:rPr>
        <w:t>茅台集团第七届第三次职工代表大会</w:t>
      </w:r>
    </w:p>
    <w:p w14:paraId="07D061DD">
      <w:pPr>
        <w:pStyle w:val="6"/>
        <w:keepNext w:val="0"/>
        <w:keepLines w:val="0"/>
        <w:pageBreakBefore w:val="0"/>
        <w:kinsoku/>
        <w:wordWrap/>
        <w:overflowPunct/>
        <w:topLinePunct w:val="0"/>
        <w:autoSpaceDE/>
        <w:autoSpaceDN/>
        <w:bidi w:val="0"/>
        <w:adjustRightInd/>
        <w:snapToGrid/>
        <w:spacing w:line="620" w:lineRule="exact"/>
        <w:ind w:left="0" w:leftChars="0" w:firstLine="0" w:firstLineChars="0"/>
        <w:jc w:val="center"/>
        <w:textAlignment w:val="auto"/>
        <w:rPr>
          <w:rFonts w:hint="eastAsia" w:ascii="方正小标宋简体" w:hAnsi="方正小标宋简体" w:eastAsia="方正小标宋简体" w:cs="方正小标宋简体"/>
          <w:w w:val="100"/>
          <w:sz w:val="44"/>
          <w:szCs w:val="44"/>
          <w:lang w:val="en-US" w:eastAsia="zh-CN"/>
        </w:rPr>
      </w:pPr>
      <w:r>
        <w:rPr>
          <w:rFonts w:hint="eastAsia" w:ascii="方正小标宋简体" w:hAnsi="方正小标宋简体" w:eastAsia="方正小标宋简体" w:cs="方正小标宋简体"/>
          <w:w w:val="100"/>
          <w:sz w:val="44"/>
          <w:szCs w:val="44"/>
          <w:lang w:val="en-US" w:eastAsia="zh-CN"/>
        </w:rPr>
        <w:t>优秀提案名单</w:t>
      </w:r>
    </w:p>
    <w:p w14:paraId="166A0999">
      <w:pPr>
        <w:rPr>
          <w:rFonts w:hint="eastAsia" w:ascii="仿宋_GB2312" w:hAnsi="仿宋_GB2312" w:eastAsia="仿宋_GB2312" w:cs="仿宋_GB2312"/>
          <w:kern w:val="2"/>
          <w:sz w:val="32"/>
          <w:szCs w:val="32"/>
          <w:lang w:val="en-US" w:eastAsia="zh-CN" w:bidi="ar-SA"/>
        </w:rPr>
      </w:pPr>
    </w:p>
    <w:p w14:paraId="1A1B8DA9">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一、关于加强优秀年轻干部培养使用的提案</w:t>
      </w:r>
    </w:p>
    <w:p w14:paraId="27EB5ABE">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牵头部门：</w:t>
      </w:r>
      <w:r>
        <w:rPr>
          <w:rFonts w:hint="eastAsia" w:ascii="仿宋_GB2312" w:hAnsi="仿宋_GB2312" w:eastAsia="仿宋_GB2312" w:cs="仿宋_GB2312"/>
          <w:kern w:val="2"/>
          <w:sz w:val="32"/>
          <w:szCs w:val="32"/>
          <w:lang w:val="en-US" w:eastAsia="zh-CN" w:bidi="ar-SA"/>
        </w:rPr>
        <w:t>集团党委组织部（党委统战部、人力资源部）</w:t>
      </w:r>
    </w:p>
    <w:p w14:paraId="1A65EB87">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黑体" w:hAnsi="黑体" w:eastAsia="黑体" w:cs="黑体"/>
          <w:kern w:val="2"/>
          <w:sz w:val="32"/>
          <w:szCs w:val="32"/>
          <w:lang w:val="en-US" w:eastAsia="zh-CN" w:bidi="ar-SA"/>
        </w:rPr>
        <w:t>案  由：</w:t>
      </w:r>
      <w:r>
        <w:rPr>
          <w:rFonts w:hint="eastAsia" w:ascii="仿宋_GB2312" w:hAnsi="仿宋_GB2312" w:eastAsia="仿宋_GB2312" w:cs="仿宋_GB2312"/>
          <w:kern w:val="2"/>
          <w:sz w:val="32"/>
          <w:szCs w:val="32"/>
          <w:lang w:val="en-US" w:eastAsia="zh-CN" w:bidi="ar-SA"/>
        </w:rPr>
        <w:t>随着公司持续发展以及市场竞争环境的日益复杂，拥有一支高素质、充满活力且具备发展潜力的年轻干部队伍对于企业长远战略目标的实现至关重要。然而，公司当前年轻干部占比不高，离《省管企业专业化年轻干部选拔培养工作措施》（黔组发〔2020〕7号）关于“35岁左右的中层副职应达到总数的1/6至1/5”的要求还有差距。如35岁左右的中层副职仅达到总数的5.52%，且作为中层正副职“蓄水池”的科级正副职的平均年龄分别达到41.95岁、38.26岁。其中，35岁及以下的科级正职仅29人，30岁及以下的科级副职仅18人。从数据上反映出，优秀年轻干部储备已跟不上企业发展对干部的需求，整体平均年龄偏大。对目前优秀年轻干部的培养使用现状进行分析，发现主要存在以下三方面问题：</w:t>
      </w:r>
    </w:p>
    <w:p w14:paraId="1B8F1AC6">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培养机制不够健全。一是缺乏系统性的培训规划，针对年轻干部的培训课程往往零散且不成体系，未能依据企业战略及岗位需求，全方位提升年轻干部的综合素养。二是缺乏针对性的实践锻炼，在安排干部挂职锻炼、跟班学习、轮岗交流等工作时，缺乏对年轻干部短板弱项的分析，从而针对性地安排到合适岗位进行实践锻炼，不利于年轻干部快速积累丰富的工作经验和应对复杂问题的能力。</w:t>
      </w:r>
    </w:p>
    <w:p w14:paraId="2937EC7B">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选拔任用渠道有待拓宽。一是选拔任用标准不够灵活，过于注重任职资格等显性条件，而对年轻干部实际工作表现中的创新能力、解决问题能力等潜在素质考量不足，导致部分优秀年轻人才被埋没。二是内部竞争机制不够充分，年轻干部晋升机会相对有限，如通过竞争上岗选拔干部时未考虑年轻干部占比，不利于优秀年轻干部脱颖而出。</w:t>
      </w:r>
    </w:p>
    <w:p w14:paraId="2B59FBE7">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跟踪管理和评估缺乏力度。一是对年轻干部培养使用后的跟踪管理不够及时，未能动态掌握他们在岗位上的工作进展、能力提升情况以及遇到的问题，难以为后续的培养调整提供准确依据。二是缺乏科学有效的评估体系，对年轻干部的考核评价指标不够全面客观，不能准确反映其真实贡献和发展潜力，影响了对年轻干部培养使用决策的科学性。</w:t>
      </w:r>
    </w:p>
    <w:p w14:paraId="16F7BB9D">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基于以上现状，为了进一步充实企业的干部队伍力量，激发年轻干部的活力与创造力，切实为企业可持续发展提供坚实的人才保障，特提出本提案，旨在加强优秀年轻干部的培养使用工作。   </w:t>
      </w:r>
    </w:p>
    <w:p w14:paraId="4B6DB84F">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推进情况：</w:t>
      </w:r>
    </w:p>
    <w:p w14:paraId="69085A44">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（一）深入开展调研。</w:t>
      </w:r>
      <w:r>
        <w:rPr>
          <w:rFonts w:hint="eastAsia" w:ascii="楷体_GB2312" w:hAnsi="楷体_GB2312" w:eastAsia="楷体_GB2312" w:cs="楷体_GB2312"/>
          <w:kern w:val="2"/>
          <w:sz w:val="32"/>
          <w:szCs w:val="32"/>
          <w:lang w:val="en-US" w:eastAsia="zh-CN" w:bidi="ar-SA"/>
        </w:rPr>
        <w:t>一是</w:t>
      </w:r>
      <w:r>
        <w:rPr>
          <w:rFonts w:hint="eastAsia" w:ascii="仿宋_GB2312" w:hAnsi="仿宋_GB2312" w:eastAsia="仿宋_GB2312" w:cs="仿宋_GB2312"/>
          <w:kern w:val="2"/>
          <w:sz w:val="32"/>
          <w:szCs w:val="32"/>
          <w:lang w:val="en-US" w:eastAsia="zh-CN" w:bidi="ar-SA"/>
        </w:rPr>
        <w:t>做好书面调研，印发通知要求各子公司梳理报送优秀年轻干部基本情况、专业型及紧缺型干部需求情况，对数量和比例作了明确要求，掌握子公司金融投资、生产管理等20多个领域方向70余名优秀（年轻）干部，收集财会、法务等领域50余个紧缺性干部需求。</w:t>
      </w:r>
      <w:r>
        <w:rPr>
          <w:rFonts w:hint="eastAsia" w:ascii="楷体_GB2312" w:hAnsi="楷体_GB2312" w:eastAsia="楷体_GB2312" w:cs="楷体_GB2312"/>
          <w:kern w:val="2"/>
          <w:sz w:val="32"/>
          <w:szCs w:val="32"/>
          <w:lang w:val="en-US" w:eastAsia="zh-CN" w:bidi="ar-SA"/>
        </w:rPr>
        <w:t>二是</w:t>
      </w:r>
      <w:r>
        <w:rPr>
          <w:rFonts w:hint="eastAsia" w:ascii="仿宋_GB2312" w:hAnsi="仿宋_GB2312" w:eastAsia="仿宋_GB2312" w:cs="仿宋_GB2312"/>
          <w:kern w:val="2"/>
          <w:sz w:val="32"/>
          <w:szCs w:val="32"/>
          <w:lang w:val="en-US" w:eastAsia="zh-CN" w:bidi="ar-SA"/>
        </w:rPr>
        <w:t>强化实地调研，制定《关于开展班子运行、干部队伍建设情况调研暨子公司党组织选人用人专项监督检查的工作方案》，针对性深入24家内设机构、子公司开展班子运行和干部队伍调研，了解100余名子公司班子成员、高管综合情况及干部队伍建设情况，精选入库80余名优秀（年轻）干部，切实做好干部储备“活水池”。</w:t>
      </w:r>
    </w:p>
    <w:p w14:paraId="6A0C0A84">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印发《茅台集团关于优秀年轻干部培养和使用工作措施》，明确“一人一策”培养机制、干部评价“雷达图”，“1+6”评价体系，下一步根据收集人选情况，制定有关具体举措，并统筹各单位定期开展年轻干部评价。</w:t>
      </w:r>
    </w:p>
    <w:p w14:paraId="15323D9A">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印发《茅台集团选人用人工作质量“提升年”实施方案》，明确竞争上岗有关工作要求，督促指导各具有干部选聘权限子公司积极开展竞争上岗工作，2025年以来批复同意16家子公司106名干部选拔计划（含竞争上岗76名），截至目前，采用竞争上岗新聘任管理人员比例为57.88%，预计12月底比例可提升至62.52%（超过60%的目标任务），持续推进子公司干部竞争上岗指导工作。</w:t>
      </w:r>
    </w:p>
    <w:p w14:paraId="006863DE">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突出政治标准、改革发展等原则，聚焦干部结构最优、功能最强，根据不同部门（单位）、子公司职能特点和发展定位，同时结合调研掌握情况，截止11月底全集团共完成113名干部（含1名聘任制干部）选拔任用，各层级优秀年轻干部61名，占比53.98%，统筹股份及其他子公司调整交流干部280余名。</w:t>
      </w:r>
    </w:p>
    <w:p w14:paraId="45ADC632">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二、关于推动集团子公司良性发展的提案</w:t>
      </w:r>
    </w:p>
    <w:p w14:paraId="01C49BF7">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b w:val="0"/>
          <w:bCs w:val="0"/>
          <w:kern w:val="2"/>
          <w:sz w:val="32"/>
          <w:szCs w:val="32"/>
          <w:lang w:val="en-US" w:eastAsia="zh-CN" w:bidi="ar-SA"/>
        </w:rPr>
      </w:pPr>
      <w:r>
        <w:rPr>
          <w:rFonts w:hint="eastAsia" w:ascii="黑体" w:hAnsi="黑体" w:eastAsia="黑体" w:cs="黑体"/>
          <w:kern w:val="2"/>
          <w:sz w:val="32"/>
          <w:szCs w:val="32"/>
          <w:lang w:val="en-US" w:eastAsia="zh-CN" w:bidi="ar-SA"/>
        </w:rPr>
        <w:t>牵头部门：</w:t>
      </w:r>
      <w:r>
        <w:rPr>
          <w:rFonts w:hint="eastAsia" w:ascii="仿宋_GB2312" w:hAnsi="仿宋_GB2312" w:eastAsia="仿宋_GB2312" w:cs="仿宋_GB2312"/>
          <w:kern w:val="2"/>
          <w:sz w:val="32"/>
          <w:szCs w:val="32"/>
          <w:lang w:val="en-US" w:eastAsia="zh-CN" w:bidi="ar-SA"/>
        </w:rPr>
        <w:t>集团党委组织部（党委统战部、人力资源部）</w:t>
      </w:r>
    </w:p>
    <w:p w14:paraId="05FB9CC4">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黑体" w:hAnsi="黑体" w:eastAsia="黑体" w:cs="黑体"/>
          <w:kern w:val="2"/>
          <w:sz w:val="32"/>
          <w:szCs w:val="32"/>
          <w:lang w:val="en-US" w:eastAsia="zh-CN" w:bidi="ar-SA"/>
        </w:rPr>
        <w:t>案  由：</w:t>
      </w:r>
      <w:r>
        <w:rPr>
          <w:rFonts w:hint="eastAsia" w:ascii="仿宋_GB2312" w:hAnsi="仿宋_GB2312" w:eastAsia="仿宋_GB2312" w:cs="仿宋_GB2312"/>
          <w:kern w:val="2"/>
          <w:sz w:val="32"/>
          <w:szCs w:val="32"/>
          <w:lang w:val="en-US" w:eastAsia="zh-CN" w:bidi="ar-SA"/>
        </w:rPr>
        <w:t>集团公司三大主营业务板块，涉及不同的行业和领域，在子公司发展中也要以自身行业特征发展，先行管控机制更实用于白酒行业，无法更好的支持非酒类子公司的发展。</w:t>
      </w:r>
    </w:p>
    <w:p w14:paraId="101111E6">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推进情况：</w:t>
      </w:r>
    </w:p>
    <w:p w14:paraId="6E6E89D4">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一是已协助战略管理部，按照一企一策要求，制定子公司2025年高质量发展绩效考核指标，已于2025年初完成指标制定及签署《目标责任状》。</w:t>
      </w:r>
    </w:p>
    <w:p w14:paraId="478776F9">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是集团公司工资总额管理制度已结合实际管理情况，考虑子公司所处行业和发展实际，对子公司实行分类管理，对功能定位不同的子公司设置不同的挂钩经济效益指标和权重，其中分类指标由子公司根据所处行业情况自行提出，充分发挥子公司主观能动性，尊重子公司行业特性和发展需要。按照效益导向原则，对经济效益增长的子公司工资总额效益增幅给予大幅支持(近几年效益工资总额增长率最高达到30%），同时设置周期制等更加灵活的工资总额管理方式，对行业周期性明显的子公司可结合公司经营实际等特殊情况提出申请，报集团公司同意后开展周期制管理，从管理健全了考虑子公司行业特性、发展需要和经济效益情况等情况工资总额管理机制，目前暂无子公司提出申请。</w:t>
      </w:r>
    </w:p>
    <w:p w14:paraId="5F2AC516">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三是依据国家、省和集团公司工资总额管理规定，已通过对子公司招录高校毕业生、市场化引进职业经理人和高层次人才等方面给予单独增加工资总额支持。</w:t>
      </w:r>
    </w:p>
    <w:p w14:paraId="7BE33799">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四是集团公司工资总额管理制度已明确对新设子企业等还处于建设初期、正在探索发展或者还未相对成熟的子公司按照政策给予过渡期工资总额单独增加的支持。</w:t>
      </w:r>
    </w:p>
    <w:p w14:paraId="47B1327D">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五是集团公司工资总额管理制度已明确对按照经济效益难以覆盖自身发展需要的子公司，给予“使用以前年度工资总额储备额度”支持，支持子公司使用以前年度结余，做好年度间工资总额分配调剂和平衡。</w:t>
      </w:r>
    </w:p>
    <w:p w14:paraId="61E4ED01">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六是在内部薪酬管理方面给予指导，协助子公司开展薪酬体系改革并落地实施，激励员工积极性，如：文旅公司已完成体系改革。</w:t>
      </w:r>
    </w:p>
    <w:p w14:paraId="46D13577">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三、关于集团人力资源数据可视化的提案</w:t>
      </w:r>
    </w:p>
    <w:p w14:paraId="1F22C081">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b w:val="0"/>
          <w:bCs w:val="0"/>
          <w:kern w:val="2"/>
          <w:sz w:val="32"/>
          <w:szCs w:val="32"/>
          <w:lang w:val="en-US" w:eastAsia="zh-CN" w:bidi="ar-SA"/>
        </w:rPr>
      </w:pPr>
      <w:r>
        <w:rPr>
          <w:rFonts w:hint="eastAsia" w:ascii="黑体" w:hAnsi="黑体" w:eastAsia="黑体" w:cs="黑体"/>
          <w:kern w:val="2"/>
          <w:sz w:val="32"/>
          <w:szCs w:val="32"/>
          <w:lang w:val="en-US" w:eastAsia="zh-CN" w:bidi="ar-SA"/>
        </w:rPr>
        <w:t>牵头部门：</w:t>
      </w:r>
      <w:r>
        <w:rPr>
          <w:rFonts w:hint="eastAsia" w:ascii="仿宋_GB2312" w:hAnsi="仿宋_GB2312" w:eastAsia="仿宋_GB2312" w:cs="仿宋_GB2312"/>
          <w:kern w:val="2"/>
          <w:sz w:val="32"/>
          <w:szCs w:val="32"/>
          <w:lang w:val="en-US" w:eastAsia="zh-CN" w:bidi="ar-SA"/>
        </w:rPr>
        <w:t>集团党委组织部（党委统战部、人力资源部）</w:t>
      </w:r>
    </w:p>
    <w:p w14:paraId="2C715998">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案  由：</w:t>
      </w:r>
      <w:r>
        <w:rPr>
          <w:rFonts w:hint="eastAsia" w:ascii="仿宋_GB2312" w:hAnsi="仿宋_GB2312" w:eastAsia="仿宋_GB2312" w:cs="仿宋_GB2312"/>
          <w:kern w:val="2"/>
          <w:sz w:val="32"/>
          <w:szCs w:val="32"/>
          <w:lang w:val="en-US" w:eastAsia="zh-CN" w:bidi="ar-SA"/>
        </w:rPr>
        <w:t>当前，集团虽然已建立统一的人力资源系统，但子公司各项人力资源数据依然按照原始的手工填报方式报送，存在效率低下和重复多头报送等问题。</w:t>
      </w:r>
    </w:p>
    <w:p w14:paraId="12AF14B3">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推进情况：</w:t>
      </w:r>
      <w:r>
        <w:rPr>
          <w:rFonts w:hint="eastAsia" w:ascii="仿宋_GB2312" w:hAnsi="仿宋_GB2312" w:eastAsia="仿宋_GB2312" w:cs="仿宋_GB2312"/>
          <w:kern w:val="2"/>
          <w:sz w:val="32"/>
          <w:szCs w:val="32"/>
          <w:lang w:val="en-US" w:eastAsia="zh-CN" w:bidi="ar-SA"/>
        </w:rPr>
        <w:t>已督促各子公司将人力资源管理信息系统中的数据更新完善，依托集团人力资源系统，集团各子公司已将人才信息完善至90%，能够根据工作经历、专业等需求精准检索人才信息。对重点优秀人才，通过轮岗、跟班学习、借调等形式培养锻炼，各子公司协同培养人才提升业务水平，增强企业核心竞争力。</w:t>
      </w:r>
      <w:bookmarkStart w:id="0" w:name="_GoBack"/>
      <w:bookmarkEnd w:id="0"/>
    </w:p>
    <w:p w14:paraId="27263EAE">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黑体" w:hAnsi="黑体" w:eastAsia="黑体" w:cs="黑体"/>
          <w:kern w:val="2"/>
          <w:sz w:val="32"/>
          <w:szCs w:val="32"/>
          <w:lang w:val="en-US" w:eastAsia="zh-CN" w:bidi="ar-SA"/>
        </w:rPr>
        <w:t>四、关于建议持续保护赤水河流域生态环境的一系列措施   的提案</w:t>
      </w:r>
    </w:p>
    <w:p w14:paraId="7096FD1D">
      <w:pPr>
        <w:pStyle w:val="6"/>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黑体" w:hAnsi="黑体" w:eastAsia="黑体" w:cs="黑体"/>
          <w:kern w:val="2"/>
          <w:sz w:val="32"/>
          <w:szCs w:val="32"/>
          <w:lang w:val="en-US" w:eastAsia="zh-CN" w:bidi="ar-SA"/>
        </w:rPr>
        <w:t>牵头部门：</w:t>
      </w:r>
      <w:r>
        <w:rPr>
          <w:rFonts w:hint="eastAsia" w:ascii="仿宋_GB2312" w:hAnsi="仿宋_GB2312" w:eastAsia="仿宋_GB2312" w:cs="仿宋_GB2312"/>
          <w:kern w:val="2"/>
          <w:sz w:val="32"/>
          <w:szCs w:val="32"/>
          <w:lang w:val="en-US" w:eastAsia="zh-CN" w:bidi="ar-SA"/>
        </w:rPr>
        <w:t>集团公司办公室（董事会办公室）</w:t>
      </w:r>
    </w:p>
    <w:p w14:paraId="4AB51E66">
      <w:pPr>
        <w:pStyle w:val="6"/>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2"/>
          <w:sz w:val="32"/>
          <w:szCs w:val="32"/>
          <w:lang w:val="en-US" w:eastAsia="zh-CN" w:bidi="ar-SA"/>
        </w:rPr>
      </w:pPr>
      <w:r>
        <w:rPr>
          <w:rFonts w:hint="eastAsia" w:ascii="黑体" w:hAnsi="黑体" w:eastAsia="黑体" w:cs="黑体"/>
          <w:kern w:val="2"/>
          <w:sz w:val="32"/>
          <w:szCs w:val="32"/>
          <w:lang w:val="en-US" w:eastAsia="zh-CN" w:bidi="ar-SA"/>
        </w:rPr>
        <w:t>案  由：</w:t>
      </w:r>
      <w:r>
        <w:rPr>
          <w:rFonts w:hint="eastAsia" w:ascii="仿宋_GB2312" w:hAnsi="仿宋_GB2312" w:eastAsia="仿宋_GB2312" w:cs="仿宋_GB2312"/>
          <w:kern w:val="2"/>
          <w:sz w:val="32"/>
          <w:szCs w:val="32"/>
          <w:lang w:val="en-US" w:eastAsia="zh-CN" w:bidi="ar-SA"/>
        </w:rPr>
        <w:t>赤水河作为茅台酒的主要水源，其生态环境的稳定对茅台酒的可持续发展至关重要。茅台品牌形象和市场竞争力与赤水河的保护状况密切相关。保护赤水河，维护其生态环境的良好状态，可以提升茅台酒的品牌形象和知名度，增强消费者对茅台酒的信任感和忠诚度。同时，保护赤水河，维护其水质和生态环境的平衡，可以为茅台酒的生产提供长期稳定的水源保障。通过加强赤水河的保护和治理，可以促进茅台酒生产过程中的节能减排和资源循环利用，实现绿色生产，推动茅台酒的可持续发展。</w:t>
      </w:r>
    </w:p>
    <w:p w14:paraId="72ED816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推进情况：</w:t>
      </w:r>
    </w:p>
    <w:p w14:paraId="2EDFDE5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建立环保联动机制。一是以推动“两山”实践创新基地工作任务为抓手，与仁怀市人民政府建立生态环境保护工作联防联控机制，制定赤水河流域（仁怀段）风险联防机制工作方案，定期召开“两山”路径转化研讨会议，共同推动“两山”工作。二是推动环境监控综合管理平台建设，以水污染物实时监测平台为基础，逐步实现环境监测综合监管平台一体化管控。</w:t>
      </w:r>
    </w:p>
    <w:p w14:paraId="3ACFBFC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加强环境污染监测。一是与中国环境科学研究合作，成立生态环保专项督查小组，加大生态环保资金投入，完善环境监测设备。二是定期开展生态环保检查考核，对环境违法行为一律严格督查、追责问责。三是从共享，合作，约束，应对处理的角度，与政府建立良好的沟通渠道，增进政府与企业的信息交换与沟通。</w:t>
      </w:r>
    </w:p>
    <w:p w14:paraId="48F67EB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支持赤水河流域生态建设。一是设立赤水河流域生态保护绿色公益基金，探索形成市场化、多元化、可持续的流域生态补偿机制。二是构建绿色供应链，建立以节能环保、环境友好为核心的绿色供应链管理制度，将环保体系的运行效果纳入供应商日常考核，督促供应商在原料采购、加工、运输过程中尽量减少能耗和污染物的产生。</w:t>
      </w:r>
    </w:p>
    <w:p w14:paraId="41FA7C5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引领行业自律与构建生态命运共同体。一是制定白酒（酱香型）制造业清洁生产评价指标体系、制定针对酿酒行业废水的新型水处理技术应用方案在确保达标排放的同时，进一步减少由于污水排放导致的赤水河流域生态系统风险。二是茅台积极推进游生态补偿，累计出资4亿元，专项用于赤水河流域生态保护，践行赤水河流域生态补偿和长效保护机制，联合流域多家酒企开展“走进源头感恩镇雄”活动，推动设立赤水河生态保护公益基金，倡导以茅台为引领，地方政府、白酒企业、社会组织等多元主体共同参与，构建流域生态补偿机制。三是开展茅台绿色可持续发展行动的全媒体矩阵宣传工作，通过视频、图文等多种方式在官媒、自媒体、自有宣传平台、产品外包装文案等媒体介质上开展优质、广泛、有效的宣传，讲好茅台绿色低碳故事，塑造生态环境友好的茅台形象。</w:t>
      </w:r>
    </w:p>
    <w:p w14:paraId="0013DA88">
      <w:pPr>
        <w:pStyle w:val="6"/>
        <w:keepNext w:val="0"/>
        <w:keepLines w:val="0"/>
        <w:pageBreakBefore w:val="0"/>
        <w:widowControl/>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促进区域经济稳定发展。从产区生态保护、产业绿色发展、产品价值转化三个维度，构建形成“135”生态环保和绿色发展体系，保护了“水土气微”协调平衡的生态系统，并通过产区生态保护、产业可持续发展和生态产品提供，走出了一条“绿水青山”和“金山银山”的价值转化路径，为赤水河生态保护与可持续发展输出了“茅台样本”。</w:t>
      </w:r>
    </w:p>
    <w:sectPr>
      <w:headerReference r:id="rId3" w:type="default"/>
      <w:footerReference r:id="rId4"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CFBA3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810D0F">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1810D0F">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3BCA12">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4Zjg2MTc4Mjg2MTg1ZWEwNDAwZGIxOWY1MWU2YjUifQ=="/>
  </w:docVars>
  <w:rsids>
    <w:rsidRoot w:val="76B402F0"/>
    <w:rsid w:val="00086BB9"/>
    <w:rsid w:val="0139423D"/>
    <w:rsid w:val="013A32BB"/>
    <w:rsid w:val="01C74429"/>
    <w:rsid w:val="01DD7636"/>
    <w:rsid w:val="020016E9"/>
    <w:rsid w:val="023279E1"/>
    <w:rsid w:val="02603AAA"/>
    <w:rsid w:val="02781BC0"/>
    <w:rsid w:val="027F5E85"/>
    <w:rsid w:val="031743B0"/>
    <w:rsid w:val="034028BE"/>
    <w:rsid w:val="03EC66E4"/>
    <w:rsid w:val="04936845"/>
    <w:rsid w:val="049D2F2C"/>
    <w:rsid w:val="04FC3176"/>
    <w:rsid w:val="05A351AD"/>
    <w:rsid w:val="05C141CF"/>
    <w:rsid w:val="06B86A37"/>
    <w:rsid w:val="073679A9"/>
    <w:rsid w:val="0834033F"/>
    <w:rsid w:val="08FA61C8"/>
    <w:rsid w:val="09B94F9F"/>
    <w:rsid w:val="09BC4A90"/>
    <w:rsid w:val="0A4800D1"/>
    <w:rsid w:val="0A6336B8"/>
    <w:rsid w:val="0A945772"/>
    <w:rsid w:val="0AB17872"/>
    <w:rsid w:val="0ABB6AF5"/>
    <w:rsid w:val="0B3152CE"/>
    <w:rsid w:val="0B6C7DF0"/>
    <w:rsid w:val="0B9E444D"/>
    <w:rsid w:val="0BDE0CED"/>
    <w:rsid w:val="0C767178"/>
    <w:rsid w:val="0CEE6D0E"/>
    <w:rsid w:val="0CF167FE"/>
    <w:rsid w:val="0D4A5D4B"/>
    <w:rsid w:val="0DC43CFC"/>
    <w:rsid w:val="0DDA3736"/>
    <w:rsid w:val="0E2E1F87"/>
    <w:rsid w:val="0E6B3BAC"/>
    <w:rsid w:val="0EFB5E46"/>
    <w:rsid w:val="0F035CF4"/>
    <w:rsid w:val="0F3B6BA6"/>
    <w:rsid w:val="0F485D44"/>
    <w:rsid w:val="0FAE7459"/>
    <w:rsid w:val="0FF2151C"/>
    <w:rsid w:val="105D2F27"/>
    <w:rsid w:val="10E87F18"/>
    <w:rsid w:val="111C0266"/>
    <w:rsid w:val="11BD13A5"/>
    <w:rsid w:val="11DB6972"/>
    <w:rsid w:val="126E4812"/>
    <w:rsid w:val="12E110C3"/>
    <w:rsid w:val="13217712"/>
    <w:rsid w:val="142F21D3"/>
    <w:rsid w:val="16290DB7"/>
    <w:rsid w:val="16FD6D04"/>
    <w:rsid w:val="171601A2"/>
    <w:rsid w:val="17AD63F9"/>
    <w:rsid w:val="17CD1C16"/>
    <w:rsid w:val="18003D99"/>
    <w:rsid w:val="18F65D34"/>
    <w:rsid w:val="19040553"/>
    <w:rsid w:val="192D6D55"/>
    <w:rsid w:val="19C332D1"/>
    <w:rsid w:val="19ED7866"/>
    <w:rsid w:val="1AA7657C"/>
    <w:rsid w:val="1BEB3B02"/>
    <w:rsid w:val="1C0F1520"/>
    <w:rsid w:val="1C6E7E6B"/>
    <w:rsid w:val="1CFD2F9D"/>
    <w:rsid w:val="1D1A3B4F"/>
    <w:rsid w:val="1D36397B"/>
    <w:rsid w:val="1D5230DA"/>
    <w:rsid w:val="1D930211"/>
    <w:rsid w:val="1DA67191"/>
    <w:rsid w:val="1DE065F9"/>
    <w:rsid w:val="1DE63995"/>
    <w:rsid w:val="1DEB1048"/>
    <w:rsid w:val="1E28600C"/>
    <w:rsid w:val="1E8904AB"/>
    <w:rsid w:val="1E8D20DD"/>
    <w:rsid w:val="1E991EAB"/>
    <w:rsid w:val="1EB15DEE"/>
    <w:rsid w:val="1EBD18C3"/>
    <w:rsid w:val="1F262D0B"/>
    <w:rsid w:val="1F553656"/>
    <w:rsid w:val="1F704E11"/>
    <w:rsid w:val="1F99069E"/>
    <w:rsid w:val="1FBE4660"/>
    <w:rsid w:val="1FDE0465"/>
    <w:rsid w:val="1FFC7246"/>
    <w:rsid w:val="206D3F96"/>
    <w:rsid w:val="20A23587"/>
    <w:rsid w:val="20B11066"/>
    <w:rsid w:val="20C22444"/>
    <w:rsid w:val="20E6394D"/>
    <w:rsid w:val="21080B1F"/>
    <w:rsid w:val="21DE32F1"/>
    <w:rsid w:val="22312312"/>
    <w:rsid w:val="22947723"/>
    <w:rsid w:val="22B6779D"/>
    <w:rsid w:val="22D62815"/>
    <w:rsid w:val="22D629CA"/>
    <w:rsid w:val="23237914"/>
    <w:rsid w:val="235F050E"/>
    <w:rsid w:val="23836148"/>
    <w:rsid w:val="23E91839"/>
    <w:rsid w:val="2418246B"/>
    <w:rsid w:val="245115A1"/>
    <w:rsid w:val="24552F99"/>
    <w:rsid w:val="259C2C2F"/>
    <w:rsid w:val="25C7479E"/>
    <w:rsid w:val="26235823"/>
    <w:rsid w:val="264659B5"/>
    <w:rsid w:val="26AD68DA"/>
    <w:rsid w:val="26F1274B"/>
    <w:rsid w:val="27AF45BC"/>
    <w:rsid w:val="27FD1D81"/>
    <w:rsid w:val="28472BE6"/>
    <w:rsid w:val="288D3FB3"/>
    <w:rsid w:val="28C8445F"/>
    <w:rsid w:val="29272709"/>
    <w:rsid w:val="29E74DB9"/>
    <w:rsid w:val="2A7C2BFC"/>
    <w:rsid w:val="2A895244"/>
    <w:rsid w:val="2A963A02"/>
    <w:rsid w:val="2BBB02AC"/>
    <w:rsid w:val="2C160DEE"/>
    <w:rsid w:val="2C9E20A7"/>
    <w:rsid w:val="2D4F6EFD"/>
    <w:rsid w:val="2D8704EF"/>
    <w:rsid w:val="2D9C7062"/>
    <w:rsid w:val="2DAE0C88"/>
    <w:rsid w:val="2DE0049D"/>
    <w:rsid w:val="2E320AA7"/>
    <w:rsid w:val="2EA17C2D"/>
    <w:rsid w:val="2EDA3048"/>
    <w:rsid w:val="2F34284F"/>
    <w:rsid w:val="2FA774C5"/>
    <w:rsid w:val="304C67C6"/>
    <w:rsid w:val="305B3E0B"/>
    <w:rsid w:val="30A47133"/>
    <w:rsid w:val="30D1758B"/>
    <w:rsid w:val="30E91725"/>
    <w:rsid w:val="312B5E3E"/>
    <w:rsid w:val="318E3C80"/>
    <w:rsid w:val="319B5DBF"/>
    <w:rsid w:val="31B4009D"/>
    <w:rsid w:val="31C33F9E"/>
    <w:rsid w:val="31EE4B75"/>
    <w:rsid w:val="32540D14"/>
    <w:rsid w:val="326743F6"/>
    <w:rsid w:val="335C4C5C"/>
    <w:rsid w:val="33917CE8"/>
    <w:rsid w:val="33B52C2A"/>
    <w:rsid w:val="33B9418C"/>
    <w:rsid w:val="346A2B94"/>
    <w:rsid w:val="348662EB"/>
    <w:rsid w:val="356B689E"/>
    <w:rsid w:val="35B5270D"/>
    <w:rsid w:val="3623361D"/>
    <w:rsid w:val="36394BEF"/>
    <w:rsid w:val="36921B84"/>
    <w:rsid w:val="37174956"/>
    <w:rsid w:val="376F3581"/>
    <w:rsid w:val="37790C78"/>
    <w:rsid w:val="378B76CC"/>
    <w:rsid w:val="37955E55"/>
    <w:rsid w:val="37983B97"/>
    <w:rsid w:val="3817652A"/>
    <w:rsid w:val="38233460"/>
    <w:rsid w:val="38355C12"/>
    <w:rsid w:val="38EC7CF6"/>
    <w:rsid w:val="39551D3F"/>
    <w:rsid w:val="397C3D0A"/>
    <w:rsid w:val="39960446"/>
    <w:rsid w:val="39B036D0"/>
    <w:rsid w:val="39D8471E"/>
    <w:rsid w:val="3A2868E5"/>
    <w:rsid w:val="3B6E0DBB"/>
    <w:rsid w:val="3C2375EC"/>
    <w:rsid w:val="3C2C614B"/>
    <w:rsid w:val="3C5D07B3"/>
    <w:rsid w:val="3C770CC6"/>
    <w:rsid w:val="3C9D7502"/>
    <w:rsid w:val="3CDF1A67"/>
    <w:rsid w:val="3D2C3C1C"/>
    <w:rsid w:val="3D756212"/>
    <w:rsid w:val="3D8D5233"/>
    <w:rsid w:val="3DA042DB"/>
    <w:rsid w:val="3DC57048"/>
    <w:rsid w:val="3E545920"/>
    <w:rsid w:val="3EDF7DC3"/>
    <w:rsid w:val="3F57193B"/>
    <w:rsid w:val="3FB41253"/>
    <w:rsid w:val="40043FF3"/>
    <w:rsid w:val="400D4000"/>
    <w:rsid w:val="40220D24"/>
    <w:rsid w:val="404B47FE"/>
    <w:rsid w:val="416D6200"/>
    <w:rsid w:val="416F1B60"/>
    <w:rsid w:val="41835375"/>
    <w:rsid w:val="41A75102"/>
    <w:rsid w:val="431542ED"/>
    <w:rsid w:val="432A7D99"/>
    <w:rsid w:val="432C0D66"/>
    <w:rsid w:val="436061BC"/>
    <w:rsid w:val="438927A9"/>
    <w:rsid w:val="43DA644B"/>
    <w:rsid w:val="43E03B45"/>
    <w:rsid w:val="444D1FC9"/>
    <w:rsid w:val="44635FD1"/>
    <w:rsid w:val="44B8083E"/>
    <w:rsid w:val="4508410A"/>
    <w:rsid w:val="45161CA6"/>
    <w:rsid w:val="45795008"/>
    <w:rsid w:val="46687C2D"/>
    <w:rsid w:val="46DF2D3D"/>
    <w:rsid w:val="47F40975"/>
    <w:rsid w:val="48B36076"/>
    <w:rsid w:val="48B97C81"/>
    <w:rsid w:val="48D8535D"/>
    <w:rsid w:val="493E63AA"/>
    <w:rsid w:val="4A0F2FCA"/>
    <w:rsid w:val="4A4C7934"/>
    <w:rsid w:val="4A4E5201"/>
    <w:rsid w:val="4A6D3751"/>
    <w:rsid w:val="4A735D68"/>
    <w:rsid w:val="4A804742"/>
    <w:rsid w:val="4AC111D6"/>
    <w:rsid w:val="4B005387"/>
    <w:rsid w:val="4B0D6DAA"/>
    <w:rsid w:val="4BCC547D"/>
    <w:rsid w:val="4CC12E4D"/>
    <w:rsid w:val="4D0E7126"/>
    <w:rsid w:val="4D1B2E8F"/>
    <w:rsid w:val="4D551EB6"/>
    <w:rsid w:val="4DB017E2"/>
    <w:rsid w:val="4DB95B9F"/>
    <w:rsid w:val="4DCD11E2"/>
    <w:rsid w:val="4DEF3AEF"/>
    <w:rsid w:val="4E194133"/>
    <w:rsid w:val="4E6C5709"/>
    <w:rsid w:val="4EA672BC"/>
    <w:rsid w:val="4EFA2D21"/>
    <w:rsid w:val="4F073684"/>
    <w:rsid w:val="4F6B5544"/>
    <w:rsid w:val="4F9D7B44"/>
    <w:rsid w:val="4FB52EAC"/>
    <w:rsid w:val="4FB64B8F"/>
    <w:rsid w:val="500100D3"/>
    <w:rsid w:val="502349AD"/>
    <w:rsid w:val="503036BE"/>
    <w:rsid w:val="503357C2"/>
    <w:rsid w:val="5056063E"/>
    <w:rsid w:val="50CB47D7"/>
    <w:rsid w:val="50FE0CB7"/>
    <w:rsid w:val="515A09E8"/>
    <w:rsid w:val="51852020"/>
    <w:rsid w:val="51853A25"/>
    <w:rsid w:val="52833022"/>
    <w:rsid w:val="52B06B82"/>
    <w:rsid w:val="537841C2"/>
    <w:rsid w:val="539E3405"/>
    <w:rsid w:val="542D52C9"/>
    <w:rsid w:val="548337AD"/>
    <w:rsid w:val="54C811C0"/>
    <w:rsid w:val="54D973B8"/>
    <w:rsid w:val="54FD1986"/>
    <w:rsid w:val="56007727"/>
    <w:rsid w:val="56701B0F"/>
    <w:rsid w:val="56AB6FEB"/>
    <w:rsid w:val="56D013B9"/>
    <w:rsid w:val="578445AC"/>
    <w:rsid w:val="5797474A"/>
    <w:rsid w:val="57AE1B0B"/>
    <w:rsid w:val="57E02989"/>
    <w:rsid w:val="589870FB"/>
    <w:rsid w:val="58B63628"/>
    <w:rsid w:val="58DD1A5E"/>
    <w:rsid w:val="595D6C17"/>
    <w:rsid w:val="59A7411C"/>
    <w:rsid w:val="59C6247C"/>
    <w:rsid w:val="5A0C6818"/>
    <w:rsid w:val="5ACE08E9"/>
    <w:rsid w:val="5AD65BA0"/>
    <w:rsid w:val="5B5B20FC"/>
    <w:rsid w:val="5B7934BD"/>
    <w:rsid w:val="5C0B1FE3"/>
    <w:rsid w:val="5C695037"/>
    <w:rsid w:val="5C947143"/>
    <w:rsid w:val="5C9B64A5"/>
    <w:rsid w:val="5D267F6F"/>
    <w:rsid w:val="5DAA2EF8"/>
    <w:rsid w:val="5E4C4272"/>
    <w:rsid w:val="5E5449A6"/>
    <w:rsid w:val="5F580CA5"/>
    <w:rsid w:val="5F5D5EBB"/>
    <w:rsid w:val="5F601CE2"/>
    <w:rsid w:val="5FFA069B"/>
    <w:rsid w:val="607937FD"/>
    <w:rsid w:val="60975425"/>
    <w:rsid w:val="60E92BEA"/>
    <w:rsid w:val="61507684"/>
    <w:rsid w:val="6258405F"/>
    <w:rsid w:val="63680282"/>
    <w:rsid w:val="63D67163"/>
    <w:rsid w:val="644665A5"/>
    <w:rsid w:val="64490F6E"/>
    <w:rsid w:val="649414F0"/>
    <w:rsid w:val="64AE118A"/>
    <w:rsid w:val="64DB22B5"/>
    <w:rsid w:val="65402FF4"/>
    <w:rsid w:val="65554CF2"/>
    <w:rsid w:val="661E5C7A"/>
    <w:rsid w:val="661F21B5"/>
    <w:rsid w:val="661F5932"/>
    <w:rsid w:val="6667304E"/>
    <w:rsid w:val="667A3754"/>
    <w:rsid w:val="66CC31DF"/>
    <w:rsid w:val="670F0ED0"/>
    <w:rsid w:val="683055A2"/>
    <w:rsid w:val="68E72104"/>
    <w:rsid w:val="691B1DAE"/>
    <w:rsid w:val="694626E7"/>
    <w:rsid w:val="69717C20"/>
    <w:rsid w:val="69854C14"/>
    <w:rsid w:val="69FF12EF"/>
    <w:rsid w:val="6A0D5B9B"/>
    <w:rsid w:val="6A2342EF"/>
    <w:rsid w:val="6A4B2240"/>
    <w:rsid w:val="6B11300F"/>
    <w:rsid w:val="6B383F7F"/>
    <w:rsid w:val="6B5F7207"/>
    <w:rsid w:val="6B6317EA"/>
    <w:rsid w:val="6CD10307"/>
    <w:rsid w:val="6D1A370B"/>
    <w:rsid w:val="6D802E4A"/>
    <w:rsid w:val="6E0077C5"/>
    <w:rsid w:val="6E3C32A1"/>
    <w:rsid w:val="6EAA14C5"/>
    <w:rsid w:val="6F9401C4"/>
    <w:rsid w:val="6FD11419"/>
    <w:rsid w:val="6FEC7A01"/>
    <w:rsid w:val="6FF513BA"/>
    <w:rsid w:val="709020CD"/>
    <w:rsid w:val="71635262"/>
    <w:rsid w:val="717E2E2F"/>
    <w:rsid w:val="718226D7"/>
    <w:rsid w:val="71C100E8"/>
    <w:rsid w:val="728A3DB3"/>
    <w:rsid w:val="72E476B5"/>
    <w:rsid w:val="72F74878"/>
    <w:rsid w:val="72FA3672"/>
    <w:rsid w:val="73033ED4"/>
    <w:rsid w:val="733D0B73"/>
    <w:rsid w:val="7382125D"/>
    <w:rsid w:val="745F5557"/>
    <w:rsid w:val="74931EA1"/>
    <w:rsid w:val="749B0CF0"/>
    <w:rsid w:val="74FA115D"/>
    <w:rsid w:val="75185FE7"/>
    <w:rsid w:val="76053367"/>
    <w:rsid w:val="767F4B72"/>
    <w:rsid w:val="768A2321"/>
    <w:rsid w:val="76AA25AE"/>
    <w:rsid w:val="76B402F0"/>
    <w:rsid w:val="76E934EC"/>
    <w:rsid w:val="78991547"/>
    <w:rsid w:val="789E0306"/>
    <w:rsid w:val="794E3ADA"/>
    <w:rsid w:val="796E77C6"/>
    <w:rsid w:val="799F60E4"/>
    <w:rsid w:val="7A1268B5"/>
    <w:rsid w:val="7A8756E0"/>
    <w:rsid w:val="7AF41032"/>
    <w:rsid w:val="7B90710F"/>
    <w:rsid w:val="7BEC5703"/>
    <w:rsid w:val="7C19716A"/>
    <w:rsid w:val="7CBC320F"/>
    <w:rsid w:val="7CD01CFC"/>
    <w:rsid w:val="7D5E0448"/>
    <w:rsid w:val="7D945607"/>
    <w:rsid w:val="7D9B279E"/>
    <w:rsid w:val="7E38629C"/>
    <w:rsid w:val="7E424159"/>
    <w:rsid w:val="7E5861CC"/>
    <w:rsid w:val="7E7E276B"/>
    <w:rsid w:val="7EE37ECA"/>
    <w:rsid w:val="7F9F6C37"/>
    <w:rsid w:val="7FAD67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列出段落1"/>
    <w:basedOn w:val="1"/>
    <w:qFormat/>
    <w:uiPriority w:val="0"/>
    <w:pPr>
      <w:widowControl/>
      <w:ind w:firstLine="420" w:firstLineChars="200"/>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3862</Words>
  <Characters>3939</Characters>
  <Lines>0</Lines>
  <Paragraphs>0</Paragraphs>
  <TotalTime>3</TotalTime>
  <ScaleCrop>false</ScaleCrop>
  <LinksUpToDate>false</LinksUpToDate>
  <CharactersWithSpaces>3953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2024-01-08T01:59:00Z</dcterms:created>
  <dc:creator>Administrator</dc:creator>
  <cp:lastModifiedBy>陈永文</cp:lastModifiedBy>
  <cp:lastPrinted>2026-01-12T01:34:00Z</cp:lastPrinted>
  <dcterms:modified xsi:type="dcterms:W3CDTF">2026-01-13T07:24:10Z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ADE7E824679D4A4E98FD03DC88121539_13</vt:lpwstr>
  </property>
  <property fmtid="{D5CDD505-2E9C-101B-9397-08002B2CF9AE}" pid="4" name="KSOTemplateDocerSaveRecord">
    <vt:lpwstr>eyJoZGlkIjoiYWQ4Zjg2MTc4Mjg2MTg1ZWEwNDAwZGIxOWY1MWU2YjUiLCJ1c2VySWQiOiIxNjA3MTc0OTQyIn0=</vt:lpwstr>
  </property>
</Properties>
</file>