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D812">
      <w:pPr>
        <w:pStyle w:val="3"/>
        <w:widowControl/>
        <w:spacing w:beforeAutospacing="0" w:afterAutospacing="0" w:line="620" w:lineRule="exact"/>
        <w:ind w:right="225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附件2</w:t>
      </w:r>
    </w:p>
    <w:p w14:paraId="27616470">
      <w:pPr>
        <w:pStyle w:val="3"/>
        <w:widowControl/>
        <w:spacing w:beforeAutospacing="0" w:afterAutospacing="0" w:line="620" w:lineRule="exact"/>
        <w:ind w:right="22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验收及质保要求</w:t>
      </w:r>
    </w:p>
    <w:p w14:paraId="59D8D5AA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在中标后，应按照甲方要求，提供对应零部件的样板至甲方指定位置进行质量核验（包括但不限于试生产、第三方检验等），核验通过后，按照甲方需求进行供货，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在货物送达指定地点后3个工作日内，完成外观、数量、规格、包装的初步验收，核对随货文件是否齐全，填写《到货验收单》，注明“合格”“不合格”或“待抽检”。</w:t>
      </w:r>
    </w:p>
    <w:p w14:paraId="276B6DA6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抽检/全检：</w:t>
      </w:r>
    </w:p>
    <w:p w14:paraId="601B37D5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对于投标人所供产品，采购人有权依据实际需求对本批产品执行抽检/全检，若产品不合格，检验费用由投标人承担。</w:t>
      </w:r>
    </w:p>
    <w:p w14:paraId="436CC55D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合格判定：</w:t>
      </w:r>
    </w:p>
    <w:p w14:paraId="098572EA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初步验收不合格（如数量短缺、包装破损、规格不符），采购人有权拒收，投标人需在3个工作日内补货或整改；</w:t>
      </w:r>
    </w:p>
    <w:p w14:paraId="2F3C8890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初步验收合格仅视为对产品外观及数量的验收合格，若使用中出现质量问题，投标人需在一个工作日内针对相关问题进行响应，在3个工作日内处理或更换不合格产品，并承担往返运费及采购人损失；</w:t>
      </w:r>
    </w:p>
    <w:p w14:paraId="52365B3D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抽检不合格，采购人需在2个工作日内书面通知投标人，投标人可申请复检（限1次），复检仍不合格的，按不合格品处理。</w:t>
      </w:r>
    </w:p>
    <w:p w14:paraId="27D01643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同一供应商连续2次出现不合格产品，采购人有权解除框架协议，并追究违约责任。</w:t>
      </w:r>
    </w:p>
    <w:p w14:paraId="5B5BEE27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库存保障与包装要求</w:t>
      </w:r>
    </w:p>
    <w:p w14:paraId="6D82688C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库存保障：常用规格产品需保持1个月安全库存，紧急订单优先调用库存，无库存时需启动加急生产流程。</w:t>
      </w:r>
    </w:p>
    <w:p w14:paraId="4195C8F7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包装要求：投标人需根据各品类产品包装要求（如防潮、防损、防振等）对产品进行包装处理，确保运输时效及产品完好。</w:t>
      </w:r>
    </w:p>
    <w:p w14:paraId="57DB8B29">
      <w:pPr>
        <w:pStyle w:val="3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  <w:highlight w:val="none"/>
          <w:lang w:val="en-US" w:eastAsia="zh-CN"/>
        </w:rPr>
      </w:pPr>
    </w:p>
    <w:p w14:paraId="5EC9D96B">
      <w:pPr>
        <w:pStyle w:val="3"/>
        <w:widowControl/>
        <w:spacing w:beforeAutospacing="0" w:afterAutospacing="0" w:line="620" w:lineRule="exact"/>
        <w:ind w:left="960" w:leftChars="200" w:right="225" w:hanging="320" w:hangingChars="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质保期：</w:t>
      </w:r>
    </w:p>
    <w:p w14:paraId="4FDF587B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非标件质保期为6个月，对于特殊工况或甲方有特殊要求的，应提供样板验证，质保期将以样板的生产数据为标准进行核验。</w:t>
      </w:r>
    </w:p>
    <w:p w14:paraId="0A79E203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6F0F"/>
    <w:rsid w:val="40105E23"/>
    <w:rsid w:val="538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651</Characters>
  <Lines>0</Lines>
  <Paragraphs>0</Paragraphs>
  <TotalTime>5</TotalTime>
  <ScaleCrop>false</ScaleCrop>
  <LinksUpToDate>false</LinksUpToDate>
  <CharactersWithSpaces>661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2026-03-19T02:58:00Z</dcterms:created>
  <dc:creator>Administrator</dc:creator>
  <cp:lastModifiedBy>Administrator</cp:lastModifiedBy>
  <dcterms:modified xsi:type="dcterms:W3CDTF">2026-05-21T06:52:59Z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0A2A81B50A20425CBE47BA4565E6A9B2_12</vt:lpwstr>
  </property>
  <property fmtid="{D5CDD505-2E9C-101B-9397-08002B2CF9AE}" pid="4" name="KSOTemplateDocerSaveRecord">
    <vt:lpwstr>eyJoZGlkIjoiYmQzYWUxNmUxY2IzMjNlZjJlMDk5ZWFmMGM3NDBhMTciLCJ1c2VySWQiOiI2MjcyMjI2MDgifQ==</vt:lpwstr>
  </property>
</Properties>
</file>